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665BF" w:rsidRDefault="00F92268" w:rsidP="00B06F0A">
            <w:pPr>
              <w:pStyle w:val="RefTableData"/>
            </w:pPr>
            <w:r w:rsidRPr="00A665BF">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6F66961" w:rsidR="00F92268" w:rsidRPr="00A665BF" w:rsidRDefault="00A665BF" w:rsidP="00B06F0A">
            <w:pPr>
              <w:pStyle w:val="RefTableData"/>
            </w:pPr>
            <w:r w:rsidRPr="00A665BF">
              <w:t>3491-A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75EBE55" w:rsidR="00A665BF" w:rsidRPr="00041200" w:rsidRDefault="00A665BF" w:rsidP="00A665BF">
      <w:pPr>
        <w:pStyle w:val="Heading1"/>
      </w:pPr>
      <w:r w:rsidRPr="00A665BF">
        <w:t>Specialty Guideline Management</w:t>
      </w:r>
      <w:r>
        <w:br/>
      </w:r>
      <w:proofErr w:type="spellStart"/>
      <w:r w:rsidRPr="00A665BF">
        <w:t>Ayvakit</w:t>
      </w:r>
      <w:proofErr w:type="spellEnd"/>
    </w:p>
    <w:p w14:paraId="78861C92" w14:textId="4FCEC0CA" w:rsidR="00203468" w:rsidRPr="00BD1CC1" w:rsidRDefault="00C64534" w:rsidP="008E0F0D">
      <w:pPr>
        <w:pStyle w:val="Heading2"/>
      </w:pPr>
      <w:r w:rsidRPr="00BD1CC1">
        <w:t xml:space="preserve">Products Referenced by this </w:t>
      </w:r>
      <w:r w:rsidR="00501602" w:rsidRPr="00BD1CC1">
        <w:t>Document</w:t>
      </w:r>
    </w:p>
    <w:p w14:paraId="5455152B" w14:textId="774D4B96"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B7772B" w:rsidRPr="00B7772B">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17F8D5D" w:rsidR="005B4D7C" w:rsidRPr="00BD1CC1" w:rsidRDefault="00A665BF">
            <w:pPr>
              <w:pStyle w:val="TableDataUnpadded"/>
            </w:pPr>
            <w:proofErr w:type="spellStart"/>
            <w:r w:rsidRPr="00A665BF">
              <w:t>Ayvakit</w:t>
            </w:r>
            <w:proofErr w:type="spellEnd"/>
          </w:p>
        </w:tc>
        <w:tc>
          <w:tcPr>
            <w:tcW w:w="5595" w:type="dxa"/>
          </w:tcPr>
          <w:p w14:paraId="1A09710D" w14:textId="275B7CFD" w:rsidR="005B4D7C" w:rsidRPr="00BD1CC1" w:rsidRDefault="00A665BF">
            <w:pPr>
              <w:pStyle w:val="TableDataUnpadded"/>
            </w:pPr>
            <w:proofErr w:type="spellStart"/>
            <w:r w:rsidRPr="00A665BF">
              <w:t>avapritinib</w:t>
            </w:r>
            <w:proofErr w:type="spellEnd"/>
          </w:p>
        </w:tc>
      </w:tr>
    </w:tbl>
    <w:p w14:paraId="14CE6108" w14:textId="1F39E21C" w:rsidR="00FC1AAD" w:rsidRDefault="00ED052F" w:rsidP="00AA2A94">
      <w:pPr>
        <w:pStyle w:val="Heading2"/>
        <w:tabs>
          <w:tab w:val="left" w:pos="9540"/>
        </w:tabs>
      </w:pPr>
      <w:r>
        <w:t>Indications</w:t>
      </w:r>
    </w:p>
    <w:p w14:paraId="4E474401" w14:textId="77777777" w:rsidR="00A665BF" w:rsidRPr="006F683E" w:rsidRDefault="00A665BF" w:rsidP="006F683E">
      <w:pPr>
        <w:pStyle w:val="BodyText"/>
      </w:pPr>
      <w:r w:rsidRPr="006F683E">
        <w:t>The indications below including FDA-approved indications and compendial uses are considered a covered benefit provided that all the approval criteria are met and the member has no exclusions to the prescribed therapy.</w:t>
      </w:r>
    </w:p>
    <w:p w14:paraId="2B4C6832" w14:textId="787E9EB5" w:rsidR="00A665BF" w:rsidRPr="00B92FB1" w:rsidRDefault="00A665BF" w:rsidP="006F683E">
      <w:pPr>
        <w:pStyle w:val="Heading3"/>
      </w:pPr>
      <w:r w:rsidRPr="00B92FB1">
        <w:t>FDA-Approved Indication</w:t>
      </w:r>
      <w:r>
        <w:t>s</w:t>
      </w:r>
    </w:p>
    <w:p w14:paraId="2D460627" w14:textId="77777777" w:rsidR="00A665BF" w:rsidRPr="00E07FB1" w:rsidRDefault="00A665BF" w:rsidP="006F683E">
      <w:pPr>
        <w:pStyle w:val="Heading4"/>
      </w:pPr>
      <w:r w:rsidRPr="00E07FB1">
        <w:t>Gastrointestinal Stromal Tumor (GIST)</w:t>
      </w:r>
    </w:p>
    <w:p w14:paraId="7266E4A6" w14:textId="77777777" w:rsidR="00A665BF" w:rsidRDefault="00A665BF" w:rsidP="006F683E">
      <w:pPr>
        <w:pStyle w:val="BodyText"/>
      </w:pPr>
      <w:proofErr w:type="spellStart"/>
      <w:r w:rsidRPr="00BE6F26">
        <w:t>A</w:t>
      </w:r>
      <w:r>
        <w:t>yvakit</w:t>
      </w:r>
      <w:proofErr w:type="spellEnd"/>
      <w:r w:rsidRPr="00BE6F26">
        <w:t xml:space="preserve"> is indicated for the treatment of adults with unresectable or metastatic GIST harboring a platelet-derived growth factor receptor alpha (PDGFRA) exon 18 mutation, including PDGFRA D842V mutations</w:t>
      </w:r>
      <w:r>
        <w:t>.</w:t>
      </w:r>
    </w:p>
    <w:p w14:paraId="705EB661" w14:textId="77777777" w:rsidR="00A665BF" w:rsidRDefault="00A665BF" w:rsidP="006F683E">
      <w:pPr>
        <w:pStyle w:val="Heading4"/>
      </w:pPr>
      <w:r>
        <w:t xml:space="preserve">Advanced Systemic </w:t>
      </w:r>
      <w:proofErr w:type="spellStart"/>
      <w:r>
        <w:t>Mastocytosis</w:t>
      </w:r>
      <w:proofErr w:type="spellEnd"/>
      <w:r>
        <w:t xml:space="preserve"> (</w:t>
      </w:r>
      <w:proofErr w:type="spellStart"/>
      <w:r>
        <w:t>AdvSM</w:t>
      </w:r>
      <w:proofErr w:type="spellEnd"/>
      <w:r>
        <w:t>)</w:t>
      </w:r>
    </w:p>
    <w:p w14:paraId="7C878DA9" w14:textId="77777777" w:rsidR="00A665BF" w:rsidRDefault="00A665BF" w:rsidP="006F683E">
      <w:pPr>
        <w:pStyle w:val="BodyText"/>
      </w:pPr>
      <w:proofErr w:type="spellStart"/>
      <w:r w:rsidRPr="00B70D47">
        <w:t>A</w:t>
      </w:r>
      <w:r>
        <w:t>yvakit</w:t>
      </w:r>
      <w:proofErr w:type="spellEnd"/>
      <w:r w:rsidRPr="00B70D47">
        <w:t xml:space="preserve"> is indicated for the treatment of adult patients with advanced systemic </w:t>
      </w:r>
      <w:proofErr w:type="spellStart"/>
      <w:r w:rsidRPr="00B70D47">
        <w:t>mastocytosis</w:t>
      </w:r>
      <w:proofErr w:type="spellEnd"/>
      <w:r w:rsidRPr="00B70D47">
        <w:t xml:space="preserve"> (</w:t>
      </w:r>
      <w:proofErr w:type="spellStart"/>
      <w:r w:rsidRPr="00B70D47">
        <w:t>AdvSM</w:t>
      </w:r>
      <w:proofErr w:type="spellEnd"/>
      <w:r w:rsidRPr="00B70D47">
        <w:t xml:space="preserve">). </w:t>
      </w:r>
      <w:proofErr w:type="spellStart"/>
      <w:r w:rsidRPr="00B70D47">
        <w:t>AdvSM</w:t>
      </w:r>
      <w:proofErr w:type="spellEnd"/>
      <w:r w:rsidRPr="00B70D47">
        <w:t xml:space="preserve"> includes patients with aggressive systemic </w:t>
      </w:r>
      <w:proofErr w:type="spellStart"/>
      <w:r w:rsidRPr="00B70D47">
        <w:t>mastocytosis</w:t>
      </w:r>
      <w:proofErr w:type="spellEnd"/>
      <w:r w:rsidRPr="00B70D47">
        <w:t xml:space="preserve"> (ASM), systemic </w:t>
      </w:r>
      <w:proofErr w:type="spellStart"/>
      <w:r w:rsidRPr="00B70D47">
        <w:t>mastocytosis</w:t>
      </w:r>
      <w:proofErr w:type="spellEnd"/>
      <w:r w:rsidRPr="00B70D47">
        <w:t xml:space="preserve"> with an associated hematological neoplasm (SM-AHN), and mast cell leukemia (MCL).</w:t>
      </w:r>
    </w:p>
    <w:p w14:paraId="77529848" w14:textId="77777777" w:rsidR="00A665BF" w:rsidRDefault="00A665BF" w:rsidP="006F683E">
      <w:pPr>
        <w:pStyle w:val="Heading4"/>
      </w:pPr>
      <w:r>
        <w:t xml:space="preserve">Indolent Systemic </w:t>
      </w:r>
      <w:proofErr w:type="spellStart"/>
      <w:r>
        <w:t>Mastocytosis</w:t>
      </w:r>
      <w:proofErr w:type="spellEnd"/>
      <w:r>
        <w:t xml:space="preserve"> (ISM)</w:t>
      </w:r>
    </w:p>
    <w:p w14:paraId="36A90728" w14:textId="77777777" w:rsidR="00A665BF" w:rsidRDefault="00A665BF" w:rsidP="006F683E">
      <w:pPr>
        <w:pStyle w:val="BodyText"/>
      </w:pPr>
      <w:proofErr w:type="spellStart"/>
      <w:r>
        <w:t>Ayvakit</w:t>
      </w:r>
      <w:proofErr w:type="spellEnd"/>
      <w:r>
        <w:t xml:space="preserve"> is indicated for the treatment of adult patients with indolent systemic </w:t>
      </w:r>
      <w:proofErr w:type="spellStart"/>
      <w:r>
        <w:t>mastocytosis</w:t>
      </w:r>
      <w:proofErr w:type="spellEnd"/>
      <w:r>
        <w:t xml:space="preserve"> (ISM).</w:t>
      </w:r>
    </w:p>
    <w:p w14:paraId="284E9A5F" w14:textId="77777777" w:rsidR="006F683E" w:rsidRDefault="00A665BF" w:rsidP="006F683E">
      <w:pPr>
        <w:pStyle w:val="Heading5"/>
      </w:pPr>
      <w:r w:rsidRPr="005E1E79">
        <w:lastRenderedPageBreak/>
        <w:t>Limitations of Use</w:t>
      </w:r>
    </w:p>
    <w:p w14:paraId="2786ABFC" w14:textId="2C287CF5" w:rsidR="00A665BF" w:rsidRPr="006F683E" w:rsidRDefault="00A665BF" w:rsidP="006F683E">
      <w:pPr>
        <w:pStyle w:val="BodyText"/>
      </w:pPr>
      <w:proofErr w:type="spellStart"/>
      <w:r w:rsidRPr="006F683E">
        <w:t>Ayvakit</w:t>
      </w:r>
      <w:proofErr w:type="spellEnd"/>
      <w:r w:rsidRPr="006F683E">
        <w:t xml:space="preserve"> is not recommended for the treatment of patients with ISM or </w:t>
      </w:r>
      <w:proofErr w:type="spellStart"/>
      <w:r w:rsidRPr="006F683E">
        <w:t>AdvSM</w:t>
      </w:r>
      <w:proofErr w:type="spellEnd"/>
      <w:r w:rsidRPr="006F683E">
        <w:t xml:space="preserve"> with platelet counts of less than 50 X 10</w:t>
      </w:r>
      <w:r w:rsidRPr="006F683E">
        <w:rPr>
          <w:vertAlign w:val="superscript"/>
        </w:rPr>
        <w:t>9</w:t>
      </w:r>
      <w:r w:rsidRPr="006F683E">
        <w:t>/L.</w:t>
      </w:r>
    </w:p>
    <w:p w14:paraId="054467A1" w14:textId="2C9B8C1A" w:rsidR="00A665BF" w:rsidRDefault="00A665BF" w:rsidP="006F683E">
      <w:pPr>
        <w:pStyle w:val="Heading3"/>
      </w:pPr>
      <w:r>
        <w:t>Compendial Uses</w:t>
      </w:r>
    </w:p>
    <w:p w14:paraId="2C48458F" w14:textId="77777777" w:rsidR="00A665BF" w:rsidRPr="00B17AFC" w:rsidRDefault="00A665BF" w:rsidP="00B17AFC">
      <w:pPr>
        <w:pStyle w:val="ListParagraph"/>
        <w:numPr>
          <w:ilvl w:val="0"/>
          <w:numId w:val="39"/>
        </w:numPr>
        <w:contextualSpacing w:val="0"/>
      </w:pPr>
      <w:r w:rsidRPr="00B17AFC">
        <w:t>Myeloid/lymphoid neoplasms with eosinophilia and FIP1L1-PDGFRA rearrangement</w:t>
      </w:r>
    </w:p>
    <w:p w14:paraId="6BA15005" w14:textId="107B6D16" w:rsidR="00A665BF" w:rsidRDefault="00A665BF" w:rsidP="00B17AFC">
      <w:pPr>
        <w:pStyle w:val="ListParagraph"/>
        <w:numPr>
          <w:ilvl w:val="0"/>
          <w:numId w:val="39"/>
        </w:numPr>
        <w:contextualSpacing w:val="0"/>
      </w:pPr>
      <w:r w:rsidRPr="00B17AFC">
        <w:t>GIST</w:t>
      </w:r>
    </w:p>
    <w:p w14:paraId="2F567F0F" w14:textId="0DFA25ED" w:rsidR="0038166E" w:rsidRPr="00B17AFC" w:rsidRDefault="0038166E" w:rsidP="00B17AFC">
      <w:pPr>
        <w:pStyle w:val="ListParagraph"/>
        <w:numPr>
          <w:ilvl w:val="0"/>
          <w:numId w:val="39"/>
        </w:numPr>
        <w:contextualSpacing w:val="0"/>
      </w:pPr>
      <w:r>
        <w:t xml:space="preserve">Advanced systemic </w:t>
      </w:r>
      <w:proofErr w:type="spellStart"/>
      <w:r>
        <w:t>mastocytosis</w:t>
      </w:r>
      <w:proofErr w:type="spellEnd"/>
      <w:r>
        <w:t xml:space="preserve">/Indolent systemic </w:t>
      </w:r>
      <w:proofErr w:type="spellStart"/>
      <w:r>
        <w:t>mastocytosis</w:t>
      </w:r>
      <w:proofErr w:type="spellEnd"/>
    </w:p>
    <w:p w14:paraId="40980058" w14:textId="77777777" w:rsidR="00A665BF" w:rsidRPr="008D1D8B" w:rsidRDefault="00A665BF" w:rsidP="006F683E">
      <w:pPr>
        <w:pStyle w:val="BodyText"/>
        <w:rPr>
          <w:bCs/>
        </w:rPr>
      </w:pPr>
      <w:r w:rsidRPr="7B343364">
        <w:t xml:space="preserve">All other indications are considered experimental/investigational and </w:t>
      </w:r>
      <w:r w:rsidRPr="7B343364">
        <w:rPr>
          <w:rFonts w:eastAsia="Arial"/>
        </w:rPr>
        <w:t>not medically necessary.</w:t>
      </w:r>
    </w:p>
    <w:p w14:paraId="0ECB3C2A" w14:textId="6FFCD079" w:rsidR="00A665BF" w:rsidRPr="006F683E" w:rsidRDefault="006F683E" w:rsidP="006F683E">
      <w:pPr>
        <w:pStyle w:val="Heading2"/>
      </w:pPr>
      <w:r w:rsidRPr="006F683E">
        <w:t>Documentation</w:t>
      </w:r>
    </w:p>
    <w:p w14:paraId="31CF06E1" w14:textId="36D5A7D0" w:rsidR="00A665BF" w:rsidRPr="006F3868" w:rsidRDefault="00A665BF" w:rsidP="006F683E">
      <w:pPr>
        <w:pStyle w:val="BodyText"/>
        <w:rPr>
          <w:color w:val="000000"/>
        </w:rPr>
      </w:pPr>
      <w:r>
        <w:t>Submission of the following information is necessary to initiate the prior authorization review:</w:t>
      </w:r>
    </w:p>
    <w:p w14:paraId="6E47C545" w14:textId="77777777" w:rsidR="00A665BF" w:rsidRPr="005D7BC3" w:rsidRDefault="00A665BF" w:rsidP="005D7BC3">
      <w:pPr>
        <w:pStyle w:val="ListParagraph"/>
        <w:numPr>
          <w:ilvl w:val="0"/>
          <w:numId w:val="40"/>
        </w:numPr>
        <w:contextualSpacing w:val="0"/>
      </w:pPr>
      <w:r w:rsidRPr="005D7BC3">
        <w:t>For GIST: PDGFRA exon 18 mutation testing (e.g., polymerase chain reaction [PCR]-based assay, next-generation sequencing [NGS]-based assay) results (where applicable).</w:t>
      </w:r>
    </w:p>
    <w:p w14:paraId="5267D89C" w14:textId="3D93A83C" w:rsidR="00A665BF" w:rsidRPr="005D7BC3" w:rsidRDefault="00A665BF" w:rsidP="005D7BC3">
      <w:pPr>
        <w:pStyle w:val="ListParagraph"/>
        <w:numPr>
          <w:ilvl w:val="0"/>
          <w:numId w:val="40"/>
        </w:numPr>
        <w:contextualSpacing w:val="0"/>
      </w:pPr>
      <w:r w:rsidRPr="005D7BC3">
        <w:t>For myeloid and/or lymphoid neoplasms with eosinophilia: Testing or analysis confirming FIP1L1-PDGFRA rearrangement and PDGFRA D842V mutation</w:t>
      </w:r>
      <w:r w:rsidR="009E33D5">
        <w:t>.</w:t>
      </w:r>
    </w:p>
    <w:p w14:paraId="77C9067F" w14:textId="2F71F646" w:rsidR="00A665BF" w:rsidRPr="006F683E" w:rsidRDefault="006F683E" w:rsidP="006F683E">
      <w:pPr>
        <w:pStyle w:val="Heading2"/>
      </w:pPr>
      <w:r w:rsidRPr="006F683E">
        <w:t>Coverage Criteria</w:t>
      </w:r>
    </w:p>
    <w:p w14:paraId="28588C1C" w14:textId="17855BE8" w:rsidR="00A665BF" w:rsidRPr="00B92FB1" w:rsidRDefault="00A665BF" w:rsidP="006F683E">
      <w:pPr>
        <w:pStyle w:val="Heading3"/>
        <w:rPr>
          <w:vertAlign w:val="superscript"/>
        </w:rPr>
      </w:pPr>
      <w:r w:rsidRPr="00B92FB1">
        <w:t>Gastrointestinal Stromal Tumor (GIST)</w:t>
      </w:r>
    </w:p>
    <w:p w14:paraId="6803CCBC" w14:textId="77777777" w:rsidR="00A665BF" w:rsidRDefault="00A665BF" w:rsidP="006062C1">
      <w:pPr>
        <w:pStyle w:val="BodyText"/>
      </w:pPr>
      <w:r w:rsidRPr="00E07FB1">
        <w:t xml:space="preserve">Authorization of </w:t>
      </w:r>
      <w:r>
        <w:t>1</w:t>
      </w:r>
      <w:r w:rsidRPr="00FB7B4E">
        <w:t>2 months</w:t>
      </w:r>
      <w:r w:rsidRPr="00E07FB1">
        <w:t xml:space="preserve"> may be granted for treatment of </w:t>
      </w:r>
      <w:r>
        <w:t xml:space="preserve">gastrointestinal stromal tumor (GIST) when any of the </w:t>
      </w:r>
      <w:r w:rsidRPr="006062C1">
        <w:t>following</w:t>
      </w:r>
      <w:r>
        <w:t xml:space="preserve"> criteria are met:</w:t>
      </w:r>
    </w:p>
    <w:p w14:paraId="74D23BD5" w14:textId="77777777" w:rsidR="00A665BF" w:rsidRPr="006F683E" w:rsidRDefault="00A665BF" w:rsidP="006062C1">
      <w:pPr>
        <w:pStyle w:val="ListParagraph"/>
        <w:numPr>
          <w:ilvl w:val="0"/>
          <w:numId w:val="41"/>
        </w:numPr>
        <w:contextualSpacing w:val="0"/>
      </w:pPr>
      <w:r w:rsidRPr="006F683E">
        <w:t xml:space="preserve">The </w:t>
      </w:r>
      <w:r w:rsidRPr="006062C1">
        <w:t>member</w:t>
      </w:r>
      <w:r w:rsidRPr="006F683E">
        <w:t xml:space="preserve"> meets all of the following criteria:</w:t>
      </w:r>
    </w:p>
    <w:p w14:paraId="404E5E07" w14:textId="77777777" w:rsidR="00A665BF" w:rsidRPr="006F683E" w:rsidRDefault="00A665BF" w:rsidP="006062C1">
      <w:pPr>
        <w:pStyle w:val="ListParagraph"/>
        <w:numPr>
          <w:ilvl w:val="1"/>
          <w:numId w:val="21"/>
        </w:numPr>
        <w:contextualSpacing w:val="0"/>
      </w:pPr>
      <w:r w:rsidRPr="006F683E">
        <w:t>The disease is residual, unresectable, tumor rupture, recurrent/metastatic or progressive</w:t>
      </w:r>
    </w:p>
    <w:p w14:paraId="197A11EE" w14:textId="77777777" w:rsidR="00A665BF" w:rsidRPr="006F683E" w:rsidRDefault="00A665BF" w:rsidP="006062C1">
      <w:pPr>
        <w:pStyle w:val="ListParagraph"/>
        <w:numPr>
          <w:ilvl w:val="1"/>
          <w:numId w:val="21"/>
        </w:numPr>
        <w:contextualSpacing w:val="0"/>
      </w:pPr>
      <w:r w:rsidRPr="006F683E">
        <w:t>The disease harbors a platelet-derived growth factor receptor alpha (PDGFRA) exon 18 mutation that is insensitive to imatinib, including the PDGFRA D842V mutation</w:t>
      </w:r>
    </w:p>
    <w:p w14:paraId="7B0E93B3" w14:textId="77777777" w:rsidR="00A665BF" w:rsidRPr="006F683E" w:rsidRDefault="00A665BF" w:rsidP="006062C1">
      <w:pPr>
        <w:pStyle w:val="ListParagraph"/>
        <w:numPr>
          <w:ilvl w:val="1"/>
          <w:numId w:val="21"/>
        </w:numPr>
        <w:contextualSpacing w:val="0"/>
      </w:pPr>
      <w:r w:rsidRPr="006F683E">
        <w:t>The requested drug will be used as a single agent for first-line therapy.</w:t>
      </w:r>
    </w:p>
    <w:p w14:paraId="79453BBA" w14:textId="77777777" w:rsidR="00A665BF" w:rsidRPr="006F683E" w:rsidRDefault="00A665BF" w:rsidP="006062C1">
      <w:pPr>
        <w:pStyle w:val="ListParagraph"/>
        <w:numPr>
          <w:ilvl w:val="0"/>
          <w:numId w:val="41"/>
        </w:numPr>
        <w:contextualSpacing w:val="0"/>
      </w:pPr>
      <w:r w:rsidRPr="006F683E">
        <w:t>The member meets all of the following criteria:</w:t>
      </w:r>
    </w:p>
    <w:p w14:paraId="70113897" w14:textId="77777777" w:rsidR="00A665BF" w:rsidRPr="006F683E" w:rsidRDefault="00A665BF" w:rsidP="006062C1">
      <w:pPr>
        <w:pStyle w:val="ListParagraph"/>
        <w:numPr>
          <w:ilvl w:val="1"/>
          <w:numId w:val="45"/>
        </w:numPr>
        <w:contextualSpacing w:val="0"/>
      </w:pPr>
      <w:r w:rsidRPr="006F683E">
        <w:t>The disease is residual, unresectable, tumor rupture or recurrent/metastatic</w:t>
      </w:r>
    </w:p>
    <w:p w14:paraId="5FB4F9F5" w14:textId="5CCDC548" w:rsidR="00A665BF" w:rsidRPr="006F683E" w:rsidRDefault="00A665BF" w:rsidP="006062C1">
      <w:pPr>
        <w:pStyle w:val="ListParagraph"/>
        <w:numPr>
          <w:ilvl w:val="1"/>
          <w:numId w:val="45"/>
        </w:numPr>
        <w:contextualSpacing w:val="0"/>
      </w:pPr>
      <w:r w:rsidRPr="006F683E">
        <w:t xml:space="preserve">The member has failed at least four FDA-approved therapies (e.g., imatinib, sunitinib, regorafenib, </w:t>
      </w:r>
      <w:proofErr w:type="spellStart"/>
      <w:r w:rsidRPr="006F683E">
        <w:t>ripretinib</w:t>
      </w:r>
      <w:proofErr w:type="spellEnd"/>
      <w:r w:rsidRPr="006F683E">
        <w:t>)</w:t>
      </w:r>
    </w:p>
    <w:p w14:paraId="3CE604A5" w14:textId="77777777" w:rsidR="00A665BF" w:rsidRPr="006F683E" w:rsidRDefault="00A665BF" w:rsidP="006062C1">
      <w:pPr>
        <w:pStyle w:val="ListParagraph"/>
        <w:numPr>
          <w:ilvl w:val="1"/>
          <w:numId w:val="45"/>
        </w:numPr>
        <w:contextualSpacing w:val="0"/>
      </w:pPr>
      <w:r w:rsidRPr="006F683E">
        <w:t>The requested drug will be used as a single agent</w:t>
      </w:r>
    </w:p>
    <w:p w14:paraId="5F4D0335" w14:textId="77777777" w:rsidR="00A665BF" w:rsidRPr="006F683E" w:rsidRDefault="00A665BF" w:rsidP="006062C1">
      <w:pPr>
        <w:pStyle w:val="ListParagraph"/>
        <w:numPr>
          <w:ilvl w:val="0"/>
          <w:numId w:val="41"/>
        </w:numPr>
        <w:contextualSpacing w:val="0"/>
      </w:pPr>
      <w:r w:rsidRPr="006F683E">
        <w:lastRenderedPageBreak/>
        <w:t>The member meets all of the following criteria:</w:t>
      </w:r>
    </w:p>
    <w:p w14:paraId="2880FD38" w14:textId="77777777" w:rsidR="00A665BF" w:rsidRPr="006F683E" w:rsidRDefault="00A665BF" w:rsidP="006062C1">
      <w:pPr>
        <w:pStyle w:val="ListParagraph"/>
        <w:numPr>
          <w:ilvl w:val="1"/>
          <w:numId w:val="44"/>
        </w:numPr>
        <w:contextualSpacing w:val="0"/>
      </w:pPr>
      <w:r w:rsidRPr="006F683E">
        <w:t>The requested drug will be used for neoadjuvant therapy to decrease surgical morbidity</w:t>
      </w:r>
    </w:p>
    <w:p w14:paraId="777F1592" w14:textId="77777777" w:rsidR="00A665BF" w:rsidRPr="006F683E" w:rsidRDefault="00A665BF" w:rsidP="006062C1">
      <w:pPr>
        <w:pStyle w:val="ListParagraph"/>
        <w:numPr>
          <w:ilvl w:val="1"/>
          <w:numId w:val="44"/>
        </w:numPr>
        <w:contextualSpacing w:val="0"/>
      </w:pPr>
      <w:r w:rsidRPr="006F683E">
        <w:t>The disease harbors a PDGFRA exon 18 mutation that is insensitive to imatinib, including the PDGFRA D842V mutation</w:t>
      </w:r>
    </w:p>
    <w:p w14:paraId="616B8623" w14:textId="77777777" w:rsidR="00A665BF" w:rsidRPr="006F683E" w:rsidRDefault="00A665BF" w:rsidP="006062C1">
      <w:pPr>
        <w:pStyle w:val="ListParagraph"/>
        <w:numPr>
          <w:ilvl w:val="1"/>
          <w:numId w:val="44"/>
        </w:numPr>
        <w:contextualSpacing w:val="0"/>
      </w:pPr>
      <w:r w:rsidRPr="006F683E">
        <w:t>The requested drug will be used as a single agent</w:t>
      </w:r>
    </w:p>
    <w:p w14:paraId="7AF7F7BC" w14:textId="72238B2D" w:rsidR="00A665BF" w:rsidRDefault="00A665BF" w:rsidP="006F683E">
      <w:pPr>
        <w:pStyle w:val="Heading3"/>
      </w:pPr>
      <w:r>
        <w:t>Myeloid/Lymphoid Neoplasms with Eosinophilia</w:t>
      </w:r>
    </w:p>
    <w:p w14:paraId="15E7EB66" w14:textId="77777777" w:rsidR="00A665BF" w:rsidRDefault="00A665BF" w:rsidP="006F683E">
      <w:pPr>
        <w:pStyle w:val="BodyText"/>
      </w:pPr>
      <w:r>
        <w:t>Authorization of 12 months may be granted for treatment of myeloid and/or lymphoid neoplasms with eosinophilia when all of the following criteria are met:</w:t>
      </w:r>
    </w:p>
    <w:p w14:paraId="7D3E6485" w14:textId="77777777" w:rsidR="00A665BF" w:rsidRPr="006062C1" w:rsidRDefault="00A665BF" w:rsidP="006062C1">
      <w:pPr>
        <w:pStyle w:val="ListParagraph"/>
        <w:numPr>
          <w:ilvl w:val="0"/>
          <w:numId w:val="46"/>
        </w:numPr>
        <w:contextualSpacing w:val="0"/>
      </w:pPr>
      <w:r w:rsidRPr="006062C1">
        <w:t>The disease harbors a PDGFRA D842V mutation which is resistant to imatinib.</w:t>
      </w:r>
    </w:p>
    <w:p w14:paraId="5DA3328F" w14:textId="77777777" w:rsidR="00A665BF" w:rsidRPr="006062C1" w:rsidRDefault="00A665BF" w:rsidP="006062C1">
      <w:pPr>
        <w:pStyle w:val="ListParagraph"/>
        <w:numPr>
          <w:ilvl w:val="0"/>
          <w:numId w:val="46"/>
        </w:numPr>
        <w:contextualSpacing w:val="0"/>
      </w:pPr>
      <w:r w:rsidRPr="006062C1">
        <w:t>The disease is FIP1L1-PDGFRA rearrangement-positive.</w:t>
      </w:r>
    </w:p>
    <w:p w14:paraId="5CCA9D54" w14:textId="3EA5C939" w:rsidR="00A665BF" w:rsidRDefault="00A665BF" w:rsidP="00262701">
      <w:pPr>
        <w:pStyle w:val="Heading3"/>
      </w:pPr>
      <w:r>
        <w:t xml:space="preserve">Indolent Systemic </w:t>
      </w:r>
      <w:proofErr w:type="spellStart"/>
      <w:r>
        <w:t>Mastocytosis</w:t>
      </w:r>
      <w:proofErr w:type="spellEnd"/>
      <w:r>
        <w:t xml:space="preserve"> (ISM), </w:t>
      </w:r>
      <w:r w:rsidRPr="00B70D47">
        <w:t xml:space="preserve">Advanced Systemic </w:t>
      </w:r>
      <w:proofErr w:type="spellStart"/>
      <w:r w:rsidRPr="00B70D47">
        <w:t>Mastocytosis</w:t>
      </w:r>
      <w:proofErr w:type="spellEnd"/>
      <w:r w:rsidRPr="00B70D47">
        <w:t xml:space="preserve"> (</w:t>
      </w:r>
      <w:proofErr w:type="spellStart"/>
      <w:r w:rsidRPr="00B70D47">
        <w:t>AdvSM</w:t>
      </w:r>
      <w:proofErr w:type="spellEnd"/>
      <w:r w:rsidRPr="00B70D47">
        <w:t>),</w:t>
      </w:r>
      <w:r>
        <w:t xml:space="preserve"> including</w:t>
      </w:r>
      <w:r w:rsidRPr="00B70D47">
        <w:t xml:space="preserve"> Aggressive Systemic </w:t>
      </w:r>
      <w:proofErr w:type="spellStart"/>
      <w:r w:rsidRPr="00B70D47">
        <w:t>Mastocytosis</w:t>
      </w:r>
      <w:proofErr w:type="spellEnd"/>
      <w:r w:rsidRPr="00B70D47">
        <w:t xml:space="preserve"> (A</w:t>
      </w:r>
      <w:r>
        <w:t>S</w:t>
      </w:r>
      <w:r w:rsidRPr="00B70D47">
        <w:t xml:space="preserve">M), Systemic </w:t>
      </w:r>
      <w:proofErr w:type="spellStart"/>
      <w:r w:rsidRPr="00B70D47">
        <w:t>Mastocytosis</w:t>
      </w:r>
      <w:proofErr w:type="spellEnd"/>
      <w:r w:rsidRPr="00B70D47">
        <w:t xml:space="preserve"> with an Associated Hematological Neoplasm (SM-AHN) and Mast Cell Leukemia (MCL)</w:t>
      </w:r>
    </w:p>
    <w:p w14:paraId="640288CA" w14:textId="77777777" w:rsidR="00A665BF" w:rsidRPr="00D67769" w:rsidRDefault="00A665BF" w:rsidP="003A4555">
      <w:pPr>
        <w:pStyle w:val="BodyText"/>
        <w:spacing w:after="0"/>
      </w:pPr>
      <w:r w:rsidRPr="00D67769">
        <w:t xml:space="preserve">Authorization of 12 months may be granted for treatment of ISM, </w:t>
      </w:r>
      <w:proofErr w:type="spellStart"/>
      <w:r w:rsidRPr="00D67769">
        <w:t>AdvSM</w:t>
      </w:r>
      <w:proofErr w:type="spellEnd"/>
      <w:r w:rsidRPr="00D67769">
        <w:t>, ASM, SM-AHN and MCL as a single agent when the member’s platelet count is greater than or equal to 50 X 10</w:t>
      </w:r>
      <w:r w:rsidRPr="00D67769">
        <w:rPr>
          <w:vertAlign w:val="superscript"/>
        </w:rPr>
        <w:t xml:space="preserve">9 </w:t>
      </w:r>
      <w:r w:rsidRPr="00D67769">
        <w:t>/L.</w:t>
      </w:r>
    </w:p>
    <w:p w14:paraId="2A723C26" w14:textId="35A26818" w:rsidR="00A665BF" w:rsidRPr="00B92FB1" w:rsidRDefault="00262701" w:rsidP="00262701">
      <w:pPr>
        <w:pStyle w:val="Heading2"/>
      </w:pPr>
      <w:r w:rsidRPr="003E429E">
        <w:t xml:space="preserve">Continuation </w:t>
      </w:r>
      <w:r>
        <w:t>o</w:t>
      </w:r>
      <w:r w:rsidRPr="003E429E">
        <w:t>f Therapy</w:t>
      </w:r>
    </w:p>
    <w:p w14:paraId="1DE8F8FB" w14:textId="79256DBD" w:rsidR="00A665BF" w:rsidRPr="00752527" w:rsidRDefault="00A665BF" w:rsidP="00262701">
      <w:pPr>
        <w:pStyle w:val="Heading3"/>
      </w:pPr>
      <w:r w:rsidRPr="00F26D66">
        <w:t>GIST</w:t>
      </w:r>
    </w:p>
    <w:p w14:paraId="0DA471F4" w14:textId="77777777" w:rsidR="00A665BF" w:rsidRDefault="00A665BF" w:rsidP="00262701">
      <w:pPr>
        <w:pStyle w:val="BodyText"/>
      </w:pPr>
      <w:r>
        <w:t>Authorization of 12 months may be granted for continued treatment of GIST when the member is receiving clinical benefit and there is no evidence of generalized (widespread, systemic) disease progression or unacceptable toxicity while on the current regimen.</w:t>
      </w:r>
    </w:p>
    <w:p w14:paraId="3A61C902" w14:textId="3578F66F" w:rsidR="00A665BF" w:rsidRPr="00B92FB1" w:rsidRDefault="00A665BF" w:rsidP="00262701">
      <w:pPr>
        <w:pStyle w:val="Heading3"/>
      </w:pPr>
      <w:r>
        <w:t xml:space="preserve">Myeloid/Lymphoid Neoplasms with Eosinophilia or </w:t>
      </w:r>
      <w:proofErr w:type="spellStart"/>
      <w:r>
        <w:t>AdvSM</w:t>
      </w:r>
      <w:proofErr w:type="spellEnd"/>
      <w:r>
        <w:t xml:space="preserve"> including ASM, SM-AHN, MCL</w:t>
      </w:r>
    </w:p>
    <w:p w14:paraId="5469281E" w14:textId="77777777" w:rsidR="00A665BF" w:rsidRDefault="00A665BF" w:rsidP="00262701">
      <w:pPr>
        <w:pStyle w:val="BodyText"/>
      </w:pPr>
      <w:r>
        <w:t>Authorization of 12 months may be granted for continued treatment in members requesting reauthorization when there is no evidence of unacceptable toxicity or disease progression while on the current regimen.</w:t>
      </w:r>
    </w:p>
    <w:p w14:paraId="4719C7C0" w14:textId="7C92BE70" w:rsidR="00A665BF" w:rsidRPr="00F956D7" w:rsidRDefault="00A665BF" w:rsidP="003A4555">
      <w:pPr>
        <w:pStyle w:val="Heading3"/>
        <w:keepNext w:val="0"/>
        <w:keepLines w:val="0"/>
        <w:widowControl w:val="0"/>
      </w:pPr>
      <w:r w:rsidRPr="00F956D7">
        <w:t xml:space="preserve">Indolent Systemic </w:t>
      </w:r>
      <w:proofErr w:type="spellStart"/>
      <w:r w:rsidRPr="00F956D7">
        <w:t>Mastocytosis</w:t>
      </w:r>
      <w:proofErr w:type="spellEnd"/>
      <w:r w:rsidRPr="00F956D7">
        <w:t xml:space="preserve"> (ISM)</w:t>
      </w:r>
    </w:p>
    <w:p w14:paraId="4310F41B" w14:textId="77777777" w:rsidR="00A665BF" w:rsidRPr="00B73609" w:rsidRDefault="00A665BF" w:rsidP="003A4555">
      <w:pPr>
        <w:pStyle w:val="BodyText"/>
        <w:widowControl w:val="0"/>
        <w:rPr>
          <w:bCs/>
        </w:rPr>
      </w:pPr>
      <w:r w:rsidRPr="00F956D7">
        <w:lastRenderedPageBreak/>
        <w:t>Authorization of 12 months may be granted for continued treatment in members requesting reauthorization when there is no evidence of unacceptable toxicity.</w:t>
      </w:r>
    </w:p>
    <w:p w14:paraId="6E18924C" w14:textId="719F834D" w:rsidR="00A665BF" w:rsidRDefault="00262701" w:rsidP="00262701">
      <w:pPr>
        <w:pStyle w:val="Heading2"/>
      </w:pPr>
      <w:r w:rsidRPr="003A6F34">
        <w:t>References</w:t>
      </w:r>
    </w:p>
    <w:p w14:paraId="3FB16CD7" w14:textId="371E7107" w:rsidR="00A665BF" w:rsidRPr="00262701" w:rsidRDefault="00A665BF" w:rsidP="00262701">
      <w:pPr>
        <w:pStyle w:val="ReferenceOrdered"/>
      </w:pPr>
      <w:proofErr w:type="spellStart"/>
      <w:r w:rsidRPr="00262701">
        <w:t>Ayvakit</w:t>
      </w:r>
      <w:proofErr w:type="spellEnd"/>
      <w:r w:rsidRPr="00262701">
        <w:t xml:space="preserve"> [package insert]. Cambridge, MA: Blueprint Medicines Corporation; May 2023.</w:t>
      </w:r>
    </w:p>
    <w:p w14:paraId="14A93812" w14:textId="68B70FE1" w:rsidR="00A665BF" w:rsidRPr="00262701" w:rsidRDefault="00A665BF" w:rsidP="00262701">
      <w:pPr>
        <w:pStyle w:val="ReferenceOrdered"/>
      </w:pPr>
      <w:r w:rsidRPr="00262701">
        <w:t>The NCCN Drugs &amp; Biologics Compendium © 202</w:t>
      </w:r>
      <w:r w:rsidR="0038166E">
        <w:t>4</w:t>
      </w:r>
      <w:r w:rsidRPr="00262701">
        <w:t xml:space="preserve"> National Comprehensive Cancer Network, Inc. https://www.nccn.org. Accessed August </w:t>
      </w:r>
      <w:r w:rsidR="0038166E">
        <w:t>1</w:t>
      </w:r>
      <w:r w:rsidRPr="00262701">
        <w:t>, 202</w:t>
      </w:r>
      <w:r w:rsidR="0038166E">
        <w:t>4</w:t>
      </w:r>
      <w:r w:rsidRPr="00262701">
        <w:t>.</w:t>
      </w:r>
    </w:p>
    <w:sectPr w:rsidR="00A665BF" w:rsidRPr="00262701"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F834" w14:textId="77777777" w:rsidR="004D6035" w:rsidRDefault="004D6035">
      <w:r>
        <w:separator/>
      </w:r>
    </w:p>
  </w:endnote>
  <w:endnote w:type="continuationSeparator" w:id="0">
    <w:p w14:paraId="5A9AC31A" w14:textId="77777777" w:rsidR="004D6035" w:rsidRDefault="004D6035">
      <w:r>
        <w:continuationSeparator/>
      </w:r>
    </w:p>
  </w:endnote>
  <w:endnote w:type="continuationNotice" w:id="1">
    <w:p w14:paraId="53372FB1" w14:textId="77777777" w:rsidR="004D6035" w:rsidRDefault="004D6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1985B1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51C2" w:rsidRPr="001451C2">
      <w:rPr>
        <w:rFonts w:cs="Arial"/>
        <w:noProof/>
        <w:sz w:val="16"/>
        <w:szCs w:val="16"/>
      </w:rPr>
      <w:t xml:space="preserve">Ayvakit SGM 3491-A </w:t>
    </w:r>
    <w:r w:rsidR="00C75845">
      <w:rPr>
        <w:rFonts w:cs="Arial"/>
        <w:noProof/>
        <w:sz w:val="16"/>
        <w:szCs w:val="16"/>
      </w:rPr>
      <w:t>P</w:t>
    </w:r>
    <w:r w:rsidR="001451C2" w:rsidRPr="001451C2">
      <w:rPr>
        <w:rFonts w:cs="Arial"/>
        <w:noProof/>
        <w:sz w:val="16"/>
        <w:szCs w:val="16"/>
      </w:rPr>
      <w:t>202</w:t>
    </w:r>
    <w:r w:rsidR="0038166E">
      <w:rPr>
        <w:rFonts w:cs="Arial"/>
        <w:noProof/>
        <w:sz w:val="16"/>
        <w:szCs w:val="16"/>
      </w:rPr>
      <w:t>4</w:t>
    </w:r>
    <w:r w:rsidR="001451C2" w:rsidRPr="001451C2">
      <w:rPr>
        <w:rFonts w:cs="Arial"/>
        <w:noProof/>
        <w:sz w:val="16"/>
        <w:szCs w:val="16"/>
      </w:rPr>
      <w:t>_R</w:t>
    </w:r>
    <w:r w:rsidR="001451C2">
      <w:rPr>
        <w:rFonts w:cs="Arial"/>
        <w:noProof/>
        <w:snapToGrid w:val="0"/>
        <w:color w:val="000000"/>
        <w:sz w:val="16"/>
        <w:szCs w:val="16"/>
      </w:rPr>
      <w:t>.docx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4F69D3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4BC48C3" w:rsidR="00F75C81" w:rsidRPr="001451C2" w:rsidRDefault="00C36B72" w:rsidP="001451C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2E9BAF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51C2" w:rsidRPr="001451C2">
      <w:rPr>
        <w:rFonts w:cs="Arial"/>
        <w:noProof/>
        <w:sz w:val="16"/>
        <w:szCs w:val="16"/>
      </w:rPr>
      <w:t>Ayvakit</w:t>
    </w:r>
    <w:r w:rsidR="001451C2">
      <w:rPr>
        <w:rFonts w:cs="Arial"/>
        <w:noProof/>
        <w:snapToGrid w:val="0"/>
        <w:color w:val="000000"/>
        <w:sz w:val="16"/>
        <w:szCs w:val="16"/>
      </w:rPr>
      <w:t xml:space="preserve"> SGM</w:t>
    </w:r>
    <w:r w:rsidR="001451C2" w:rsidRPr="001451C2">
      <w:rPr>
        <w:rFonts w:cs="Arial"/>
        <w:noProof/>
        <w:sz w:val="16"/>
        <w:szCs w:val="16"/>
      </w:rPr>
      <w:t xml:space="preserve"> </w:t>
    </w:r>
    <w:r w:rsidR="001451C2">
      <w:rPr>
        <w:rFonts w:cs="Arial"/>
        <w:noProof/>
        <w:snapToGrid w:val="0"/>
        <w:color w:val="000000"/>
        <w:sz w:val="16"/>
        <w:szCs w:val="16"/>
      </w:rPr>
      <w:t xml:space="preserve">3491-A </w:t>
    </w:r>
    <w:r w:rsidR="00C75845">
      <w:rPr>
        <w:rFonts w:cs="Arial"/>
        <w:noProof/>
        <w:snapToGrid w:val="0"/>
        <w:color w:val="000000"/>
        <w:sz w:val="16"/>
        <w:szCs w:val="16"/>
      </w:rPr>
      <w:t>P</w:t>
    </w:r>
    <w:r w:rsidR="001451C2" w:rsidRPr="001451C2">
      <w:rPr>
        <w:rFonts w:cs="Arial"/>
        <w:noProof/>
        <w:sz w:val="16"/>
        <w:szCs w:val="16"/>
      </w:rPr>
      <w:t>202</w:t>
    </w:r>
    <w:r w:rsidR="0038166E">
      <w:rPr>
        <w:rFonts w:cs="Arial"/>
        <w:noProof/>
        <w:sz w:val="16"/>
        <w:szCs w:val="16"/>
      </w:rPr>
      <w:t>4</w:t>
    </w:r>
    <w:r w:rsidR="001451C2" w:rsidRPr="001451C2">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52DCC21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39554A3" w:rsidR="00ED04EC" w:rsidRPr="001451C2" w:rsidRDefault="00F50D98" w:rsidP="001451C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F6FF6" w14:textId="3F4AA5F1" w:rsidR="00262701" w:rsidRPr="00262701" w:rsidRDefault="00262701" w:rsidP="00262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BEF44" w14:textId="77777777" w:rsidR="004D6035" w:rsidRDefault="004D6035">
      <w:r>
        <w:separator/>
      </w:r>
    </w:p>
  </w:footnote>
  <w:footnote w:type="continuationSeparator" w:id="0">
    <w:p w14:paraId="3A51472B" w14:textId="77777777" w:rsidR="004D6035" w:rsidRDefault="004D6035">
      <w:r>
        <w:continuationSeparator/>
      </w:r>
    </w:p>
  </w:footnote>
  <w:footnote w:type="continuationNotice" w:id="1">
    <w:p w14:paraId="0FA17F85" w14:textId="77777777" w:rsidR="004D6035" w:rsidRDefault="004D60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262701" w:rsidRDefault="00ED04EC" w:rsidP="00B06F0A">
          <w:pPr>
            <w:pStyle w:val="RefTableData"/>
          </w:pPr>
          <w:r w:rsidRPr="00262701">
            <w:t>Reference number(s)</w:t>
          </w:r>
        </w:p>
      </w:tc>
    </w:tr>
    <w:tr w:rsidR="00ED04EC" w:rsidRPr="00ED04EC" w14:paraId="703C6588" w14:textId="77777777">
      <w:trPr>
        <w:trHeight w:val="378"/>
        <w:jc w:val="right"/>
      </w:trPr>
      <w:tc>
        <w:tcPr>
          <w:tcW w:w="1854" w:type="dxa"/>
          <w:hideMark/>
        </w:tcPr>
        <w:p w14:paraId="51CE3E64" w14:textId="4EE7B8BF" w:rsidR="00ED04EC" w:rsidRPr="00262701" w:rsidRDefault="00262701" w:rsidP="00B06F0A">
          <w:pPr>
            <w:pStyle w:val="RefTableData"/>
          </w:pPr>
          <w:r w:rsidRPr="00262701">
            <w:t>3491-A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B06F0A" w:rsidRPr="00ED04EC" w14:paraId="2E8698C2" w14:textId="77777777" w:rsidTr="006F70AA">
      <w:trPr>
        <w:trHeight w:val="144"/>
        <w:jc w:val="right"/>
      </w:trPr>
      <w:tc>
        <w:tcPr>
          <w:tcW w:w="1854" w:type="dxa"/>
          <w:hideMark/>
        </w:tcPr>
        <w:p w14:paraId="504CD4A5" w14:textId="77777777" w:rsidR="00B06F0A" w:rsidRPr="00262701" w:rsidRDefault="00B06F0A" w:rsidP="00B06F0A">
          <w:pPr>
            <w:pStyle w:val="RefTableData"/>
          </w:pPr>
          <w:r w:rsidRPr="00262701">
            <w:t>Reference number(s)</w:t>
          </w:r>
        </w:p>
      </w:tc>
    </w:tr>
    <w:tr w:rsidR="00B06F0A" w:rsidRPr="00ED04EC" w14:paraId="7B5BC17B" w14:textId="77777777" w:rsidTr="006F70AA">
      <w:trPr>
        <w:trHeight w:val="378"/>
        <w:jc w:val="right"/>
      </w:trPr>
      <w:tc>
        <w:tcPr>
          <w:tcW w:w="1854" w:type="dxa"/>
          <w:hideMark/>
        </w:tcPr>
        <w:p w14:paraId="7C9F03A5" w14:textId="77777777" w:rsidR="00B06F0A" w:rsidRPr="00262701" w:rsidRDefault="00B06F0A" w:rsidP="00B06F0A">
          <w:pPr>
            <w:pStyle w:val="RefTableData"/>
          </w:pPr>
          <w:r w:rsidRPr="00262701">
            <w:t>3491-A</w:t>
          </w:r>
        </w:p>
      </w:tc>
    </w:tr>
  </w:tbl>
  <w:p w14:paraId="2CC9AF0A" w14:textId="77777777" w:rsidR="00B06F0A" w:rsidRPr="00B06F0A" w:rsidRDefault="00B06F0A">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3279AB"/>
    <w:multiLevelType w:val="hybridMultilevel"/>
    <w:tmpl w:val="C1E874F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8C5F37"/>
    <w:multiLevelType w:val="hybridMultilevel"/>
    <w:tmpl w:val="3ADA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6280636"/>
    <w:multiLevelType w:val="hybridMultilevel"/>
    <w:tmpl w:val="2384001A"/>
    <w:lvl w:ilvl="0" w:tplc="2018A9D8">
      <w:start w:val="1"/>
      <w:numFmt w:val="upperLetter"/>
      <w:lvlText w:val="%1."/>
      <w:lvlJc w:val="left"/>
      <w:pPr>
        <w:ind w:left="1080" w:hanging="360"/>
      </w:pPr>
      <w:rPr>
        <w:rFonts w:ascii="Arial" w:eastAsia="Times New Roman" w:hAnsi="Arial" w:cs="Arial"/>
        <w:b/>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05840090">
      <w:start w:val="1"/>
      <w:numFmt w:val="decimal"/>
      <w:lvlText w:val="%4."/>
      <w:lvlJc w:val="left"/>
      <w:pPr>
        <w:ind w:left="1440" w:hanging="360"/>
      </w:pPr>
      <w:rPr>
        <w:rFonts w:ascii="Arial" w:eastAsia="Times New Roman" w:hAnsi="Arial" w:cs="Arial"/>
        <w:b w:val="0"/>
      </w:rPr>
    </w:lvl>
    <w:lvl w:ilvl="4" w:tplc="0409000F">
      <w:start w:val="1"/>
      <w:numFmt w:val="decimal"/>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393DB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1B1111D"/>
    <w:multiLevelType w:val="hybridMultilevel"/>
    <w:tmpl w:val="53FC84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3E56C5"/>
    <w:multiLevelType w:val="hybridMultilevel"/>
    <w:tmpl w:val="1F14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521AC0"/>
    <w:multiLevelType w:val="hybridMultilevel"/>
    <w:tmpl w:val="FB16082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5A64331"/>
    <w:multiLevelType w:val="hybridMultilevel"/>
    <w:tmpl w:val="064CD920"/>
    <w:lvl w:ilvl="0" w:tplc="52783BCC">
      <w:start w:val="1"/>
      <w:numFmt w:val="upperLetter"/>
      <w:lvlText w:val="%1."/>
      <w:lvlJc w:val="left"/>
      <w:pPr>
        <w:ind w:left="1440" w:hanging="360"/>
      </w:pPr>
      <w:rPr>
        <w:vertAlign w:val="baseline"/>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257FE2"/>
    <w:multiLevelType w:val="hybridMultilevel"/>
    <w:tmpl w:val="9C94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32FCC"/>
    <w:multiLevelType w:val="hybridMultilevel"/>
    <w:tmpl w:val="E4AA10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241014"/>
    <w:multiLevelType w:val="hybridMultilevel"/>
    <w:tmpl w:val="0CAEF134"/>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C3817E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A72587"/>
    <w:multiLevelType w:val="hybridMultilevel"/>
    <w:tmpl w:val="24FC2E28"/>
    <w:lvl w:ilvl="0" w:tplc="2E4ECA62">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2A6205"/>
    <w:multiLevelType w:val="hybridMultilevel"/>
    <w:tmpl w:val="4BE4C04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C536CD7"/>
    <w:multiLevelType w:val="hybridMultilevel"/>
    <w:tmpl w:val="98CC631A"/>
    <w:lvl w:ilvl="0" w:tplc="518AB4BC">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DA6212F"/>
    <w:multiLevelType w:val="hybridMultilevel"/>
    <w:tmpl w:val="5FF0D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875AD4"/>
    <w:multiLevelType w:val="hybridMultilevel"/>
    <w:tmpl w:val="064CD920"/>
    <w:lvl w:ilvl="0" w:tplc="52783BCC">
      <w:start w:val="1"/>
      <w:numFmt w:val="upperLetter"/>
      <w:lvlText w:val="%1."/>
      <w:lvlJc w:val="left"/>
      <w:pPr>
        <w:ind w:left="1440" w:hanging="360"/>
      </w:pPr>
      <w:rPr>
        <w:vertAlign w:val="baseline"/>
      </w:r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64921869">
    <w:abstractNumId w:val="13"/>
  </w:num>
  <w:num w:numId="2" w16cid:durableId="606935877">
    <w:abstractNumId w:val="36"/>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40"/>
  </w:num>
  <w:num w:numId="18" w16cid:durableId="299724409">
    <w:abstractNumId w:val="32"/>
  </w:num>
  <w:num w:numId="19" w16cid:durableId="214585573">
    <w:abstractNumId w:val="15"/>
  </w:num>
  <w:num w:numId="20" w16cid:durableId="1289816170">
    <w:abstractNumId w:val="16"/>
  </w:num>
  <w:num w:numId="21" w16cid:durableId="1066490929">
    <w:abstractNumId w:val="41"/>
  </w:num>
  <w:num w:numId="22" w16cid:durableId="1472481103">
    <w:abstractNumId w:val="34"/>
  </w:num>
  <w:num w:numId="23" w16cid:durableId="1997420403">
    <w:abstractNumId w:val="37"/>
  </w:num>
  <w:num w:numId="24" w16cid:durableId="33312838">
    <w:abstractNumId w:val="33"/>
  </w:num>
  <w:num w:numId="25" w16cid:durableId="507404939">
    <w:abstractNumId w:val="20"/>
  </w:num>
  <w:num w:numId="26" w16cid:durableId="1950313333">
    <w:abstractNumId w:val="26"/>
  </w:num>
  <w:num w:numId="27" w16cid:durableId="1866016584">
    <w:abstractNumId w:val="23"/>
  </w:num>
  <w:num w:numId="28" w16cid:durableId="326179935">
    <w:abstractNumId w:val="39"/>
  </w:num>
  <w:num w:numId="29" w16cid:durableId="545025859">
    <w:abstractNumId w:val="17"/>
  </w:num>
  <w:num w:numId="30" w16cid:durableId="916667369">
    <w:abstractNumId w:val="28"/>
  </w:num>
  <w:num w:numId="31" w16cid:durableId="1246644661">
    <w:abstractNumId w:val="43"/>
  </w:num>
  <w:num w:numId="32" w16cid:durableId="1565212966">
    <w:abstractNumId w:val="25"/>
  </w:num>
  <w:num w:numId="33" w16cid:durableId="170223897">
    <w:abstractNumId w:val="38"/>
  </w:num>
  <w:num w:numId="34" w16cid:durableId="1945992576">
    <w:abstractNumId w:val="35"/>
  </w:num>
  <w:num w:numId="35" w16cid:durableId="800078688">
    <w:abstractNumId w:val="19"/>
  </w:num>
  <w:num w:numId="36" w16cid:durableId="81100570">
    <w:abstractNumId w:val="30"/>
  </w:num>
  <w:num w:numId="37" w16cid:durableId="1661499987">
    <w:abstractNumId w:val="24"/>
  </w:num>
  <w:num w:numId="38" w16cid:durableId="168637659">
    <w:abstractNumId w:val="10"/>
  </w:num>
  <w:num w:numId="39" w16cid:durableId="775179824">
    <w:abstractNumId w:val="27"/>
  </w:num>
  <w:num w:numId="40" w16cid:durableId="1664653">
    <w:abstractNumId w:val="12"/>
  </w:num>
  <w:num w:numId="41" w16cid:durableId="1137528970">
    <w:abstractNumId w:val="42"/>
  </w:num>
  <w:num w:numId="42" w16cid:durableId="1626424008">
    <w:abstractNumId w:val="41"/>
  </w:num>
  <w:num w:numId="43" w16cid:durableId="957418979">
    <w:abstractNumId w:val="41"/>
  </w:num>
  <w:num w:numId="44" w16cid:durableId="916403063">
    <w:abstractNumId w:val="18"/>
  </w:num>
  <w:num w:numId="45" w16cid:durableId="464469135">
    <w:abstractNumId w:val="31"/>
  </w:num>
  <w:num w:numId="46" w16cid:durableId="496577206">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4881"/>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1C2"/>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4B4"/>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BED"/>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1D4E"/>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701"/>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191C"/>
    <w:rsid w:val="00372A21"/>
    <w:rsid w:val="00372FCD"/>
    <w:rsid w:val="0037333D"/>
    <w:rsid w:val="00374540"/>
    <w:rsid w:val="003753D0"/>
    <w:rsid w:val="003756FF"/>
    <w:rsid w:val="0037580F"/>
    <w:rsid w:val="0037664E"/>
    <w:rsid w:val="003777A6"/>
    <w:rsid w:val="00377D50"/>
    <w:rsid w:val="0038166E"/>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555"/>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20"/>
    <w:rsid w:val="00427B15"/>
    <w:rsid w:val="00430B2F"/>
    <w:rsid w:val="00431634"/>
    <w:rsid w:val="00431A2D"/>
    <w:rsid w:val="00431D2B"/>
    <w:rsid w:val="00431EB7"/>
    <w:rsid w:val="00433A31"/>
    <w:rsid w:val="00433E3A"/>
    <w:rsid w:val="00433EE2"/>
    <w:rsid w:val="004357BB"/>
    <w:rsid w:val="00435A60"/>
    <w:rsid w:val="00436BC5"/>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5FF8"/>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035"/>
    <w:rsid w:val="004D67AC"/>
    <w:rsid w:val="004D696E"/>
    <w:rsid w:val="004E0DA9"/>
    <w:rsid w:val="004E16CE"/>
    <w:rsid w:val="004E197E"/>
    <w:rsid w:val="004E1CD5"/>
    <w:rsid w:val="004E1EEE"/>
    <w:rsid w:val="004E407D"/>
    <w:rsid w:val="004E4FB7"/>
    <w:rsid w:val="004E563C"/>
    <w:rsid w:val="004E69C5"/>
    <w:rsid w:val="004E6C9B"/>
    <w:rsid w:val="004E6FA5"/>
    <w:rsid w:val="004E78BF"/>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BC3"/>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2C1"/>
    <w:rsid w:val="00606DBB"/>
    <w:rsid w:val="006077A7"/>
    <w:rsid w:val="00607959"/>
    <w:rsid w:val="0060798E"/>
    <w:rsid w:val="00610B15"/>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025"/>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868"/>
    <w:rsid w:val="006F392F"/>
    <w:rsid w:val="006F3EAE"/>
    <w:rsid w:val="006F42E6"/>
    <w:rsid w:val="006F53D8"/>
    <w:rsid w:val="006F5F82"/>
    <w:rsid w:val="006F683E"/>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DDD"/>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0A6"/>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1B5"/>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05"/>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6FFF"/>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33D5"/>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36"/>
    <w:rsid w:val="009F4ACC"/>
    <w:rsid w:val="009F6192"/>
    <w:rsid w:val="009F672D"/>
    <w:rsid w:val="009F6E2E"/>
    <w:rsid w:val="009F7EA7"/>
    <w:rsid w:val="00A000EF"/>
    <w:rsid w:val="00A00395"/>
    <w:rsid w:val="00A00423"/>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48F"/>
    <w:rsid w:val="00A23BE3"/>
    <w:rsid w:val="00A24116"/>
    <w:rsid w:val="00A242BE"/>
    <w:rsid w:val="00A25B45"/>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5BF"/>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BEB"/>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505"/>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6F0A"/>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17AFC"/>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6E5A"/>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609"/>
    <w:rsid w:val="00B73BA9"/>
    <w:rsid w:val="00B73FA7"/>
    <w:rsid w:val="00B74318"/>
    <w:rsid w:val="00B76A92"/>
    <w:rsid w:val="00B76BCF"/>
    <w:rsid w:val="00B76C81"/>
    <w:rsid w:val="00B7772B"/>
    <w:rsid w:val="00B77B78"/>
    <w:rsid w:val="00B8022C"/>
    <w:rsid w:val="00B80357"/>
    <w:rsid w:val="00B80AC8"/>
    <w:rsid w:val="00B81929"/>
    <w:rsid w:val="00B81FE6"/>
    <w:rsid w:val="00B8206A"/>
    <w:rsid w:val="00B827C8"/>
    <w:rsid w:val="00B82F4A"/>
    <w:rsid w:val="00B83047"/>
    <w:rsid w:val="00B834A4"/>
    <w:rsid w:val="00B8361F"/>
    <w:rsid w:val="00B836B0"/>
    <w:rsid w:val="00B84072"/>
    <w:rsid w:val="00B84926"/>
    <w:rsid w:val="00B84F18"/>
    <w:rsid w:val="00B853B4"/>
    <w:rsid w:val="00B85C37"/>
    <w:rsid w:val="00B85D7B"/>
    <w:rsid w:val="00B860C8"/>
    <w:rsid w:val="00B86B9B"/>
    <w:rsid w:val="00B8792F"/>
    <w:rsid w:val="00B9125F"/>
    <w:rsid w:val="00B916FF"/>
    <w:rsid w:val="00B92A61"/>
    <w:rsid w:val="00B92B9A"/>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845"/>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61E"/>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2FF"/>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4C1E"/>
    <w:rsid w:val="00D6549B"/>
    <w:rsid w:val="00D65533"/>
    <w:rsid w:val="00D665CC"/>
    <w:rsid w:val="00D67252"/>
    <w:rsid w:val="00D67769"/>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05C"/>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455C"/>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B8D"/>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8C9D7-1F73-408D-975A-EEAB6DC95741}"/>
</file>

<file path=customXml/itemProps2.xml><?xml version="1.0" encoding="utf-8"?>
<ds:datastoreItem xmlns:ds="http://schemas.openxmlformats.org/officeDocument/2006/customXml" ds:itemID="{A243CFE1-08DE-432F-83DD-4933F5F97812}">
  <ds:schemaRefs>
    <ds:schemaRef ds:uri="http://purl.org/dc/elements/1.1/"/>
    <ds:schemaRef ds:uri="http://schemas.microsoft.com/office/infopath/2007/PartnerControls"/>
    <ds:schemaRef ds:uri="http://purl.org/dc/terms/"/>
    <ds:schemaRef ds:uri="102fadf2-6cae-45bc-95f6-bc2613b98572"/>
    <ds:schemaRef ds:uri="http://schemas.microsoft.com/office/2006/documentManagement/types"/>
    <ds:schemaRef ds:uri="http://schemas.openxmlformats.org/package/2006/metadata/core-properties"/>
    <ds:schemaRef ds:uri="ce173f13-e3a2-4c5f-8c54-d0382ae88016"/>
    <ds:schemaRef ds:uri="http://schemas.microsoft.com/office/2006/metadata/properties"/>
    <ds:schemaRef ds:uri="http://www.w3.org/XML/1998/namespace"/>
    <ds:schemaRef ds:uri="http://purl.org/dc/dcmitype/"/>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700</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Ayvakit 3491-A SGM 2023</vt:lpstr>
    </vt:vector>
  </TitlesOfParts>
  <Company>PCS Health Systems</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Ayvakit 3491-A SGM 2023</dc:title>
  <dc:subject/>
  <dc:creator>CVS Caremark</dc:creator>
  <cp:keywords/>
  <cp:lastModifiedBy>Huerta, Linda M</cp:lastModifiedBy>
  <cp:revision>6</cp:revision>
  <cp:lastPrinted>2018-01-09T08:01:00Z</cp:lastPrinted>
  <dcterms:created xsi:type="dcterms:W3CDTF">2024-10-25T14:18:00Z</dcterms:created>
  <dcterms:modified xsi:type="dcterms:W3CDTF">2024-11-13T21:12:00Z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1272200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